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55"/>
        <w:gridCol w:w="403"/>
        <w:gridCol w:w="77"/>
        <w:gridCol w:w="403"/>
        <w:gridCol w:w="6827"/>
        <w:gridCol w:w="403"/>
        <w:gridCol w:w="103"/>
        <w:gridCol w:w="403"/>
        <w:gridCol w:w="465"/>
        <w:gridCol w:w="403"/>
      </w:tblGrid>
      <w:tr w14:paraId="7F13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421" w:hRule="atLeast"/>
          <w:jc w:val="center"/>
        </w:trPr>
        <w:tc>
          <w:tcPr>
            <w:tcW w:w="9542" w:type="dxa"/>
            <w:gridSpan w:val="10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B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附表</w:t>
            </w:r>
          </w:p>
          <w:p w14:paraId="50AE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市公共资源交易中心对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招标代理机构</w:t>
            </w:r>
          </w:p>
          <w:p w14:paraId="15C4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进场行为规范评价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表</w:t>
            </w:r>
          </w:p>
          <w:bookmarkEnd w:id="0"/>
          <w:p w14:paraId="39BB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年  月  日</w:t>
            </w:r>
          </w:p>
        </w:tc>
      </w:tr>
      <w:tr w14:paraId="468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925" w:hRule="atLeast"/>
          <w:jc w:val="center"/>
        </w:trPr>
        <w:tc>
          <w:tcPr>
            <w:tcW w:w="9542" w:type="dxa"/>
            <w:gridSpan w:val="10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00F87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 w14:paraId="04AB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85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2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代理机构名称：</w:t>
            </w:r>
          </w:p>
        </w:tc>
      </w:tr>
      <w:tr w14:paraId="7166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45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61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代理机构负责人：</w:t>
            </w:r>
          </w:p>
        </w:tc>
      </w:tr>
      <w:tr w14:paraId="41A4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27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28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项目名称（编号）：</w:t>
            </w:r>
          </w:p>
        </w:tc>
      </w:tr>
      <w:tr w14:paraId="2360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97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4B6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计分科室：                       计分人：</w:t>
            </w:r>
          </w:p>
        </w:tc>
      </w:tr>
      <w:tr w14:paraId="5DBA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464" w:hRule="atLeast"/>
          <w:jc w:val="center"/>
        </w:trPr>
        <w:tc>
          <w:tcPr>
            <w:tcW w:w="4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29403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8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7DD88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AD25A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评价内容</w:t>
            </w:r>
          </w:p>
        </w:tc>
        <w:tc>
          <w:tcPr>
            <w:tcW w:w="50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01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扣分标准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24FDDB">
            <w:pPr>
              <w:keepNext w:val="0"/>
              <w:keepLines w:val="0"/>
              <w:widowControl/>
              <w:suppressLineNumbers w:val="0"/>
              <w:ind w:firstLine="201" w:firstLineChars="10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扣分点  计分</w:t>
            </w:r>
          </w:p>
        </w:tc>
      </w:tr>
      <w:tr w14:paraId="6E88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12" w:hRule="atLeast"/>
          <w:jc w:val="center"/>
        </w:trPr>
        <w:tc>
          <w:tcPr>
            <w:tcW w:w="45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C4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8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39C10AE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严重不良行为 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3950BD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1.开、评标组织人员出现迟到、早退或擅自离岗情形的</w:t>
            </w:r>
          </w:p>
        </w:tc>
        <w:tc>
          <w:tcPr>
            <w:tcW w:w="50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17B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每发生一 次，扣10分</w:t>
            </w:r>
          </w:p>
        </w:tc>
        <w:tc>
          <w:tcPr>
            <w:tcW w:w="86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9334F8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BF0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B71B2E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00865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B19CB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2.未认真维持开、评标现场秩序，致使开、评标组织混乱导致项目不能正常进行的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1F1C90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37090E35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4307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21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C9158C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2807F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EF868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3.因代理机构工作失误，要求交易系统做更正操作的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321425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2CF2D8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591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7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BFBFFE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DA2FD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A1C8F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4.随意变动开、评标场地及开标时间的，或者取消组织开、评标未提前告知中心的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FC76FE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FCB9176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36BF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0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2D9304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F800B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279F0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5.上传的信息含敏感字或非法内容的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687D74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3E0B683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BAA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5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809BB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FA3B5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AD664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6.携带通讯工具进入评标区的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FAD24B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63F58E2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3EBB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5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725B68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71802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8A939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7.未在评标区专家等候室拆启《评标（审）专家抽取表》的或拆启《评标（审）专家抽取表》时未在专家等候室核对专家身份及证件的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36EC39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981DADA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5C6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5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F66094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69D0CC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2D913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8.</w:t>
            </w:r>
            <w:r>
              <w:rPr>
                <w:rStyle w:val="4"/>
                <w:color w:val="auto"/>
                <w:shd w:val="clear" w:color="auto" w:fill="auto"/>
                <w:lang w:val="en-US" w:eastAsia="zh-CN" w:bidi="ar"/>
              </w:rPr>
              <w:t>交易结束后未通知中心工作人员及交回工作牌的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53D3DB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489136A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7D81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92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3DC9C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801A97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598C6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9.项目资料无故未按规定及时、完整归档的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44CB6E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D337F51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1D1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10" w:hRule="atLeast"/>
          <w:jc w:val="center"/>
        </w:trPr>
        <w:tc>
          <w:tcPr>
            <w:tcW w:w="45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4A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8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77B39A7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一般不良行为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97199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代理机构不服从市公共资源交易中心管理的或违反相关规定的</w:t>
            </w:r>
          </w:p>
        </w:tc>
        <w:tc>
          <w:tcPr>
            <w:tcW w:w="50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每发生一 次，扣5分</w:t>
            </w:r>
          </w:p>
        </w:tc>
        <w:tc>
          <w:tcPr>
            <w:tcW w:w="86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450DAA9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3A35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44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62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E4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78F22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11.违反《松原市公共资源交易中心开标评标区管理制度》、《松原市公共资源交易中心招标代理机构进场交易行为规范》等相关内容的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B2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ECA2C8A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3F82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5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D6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20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22A38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12.未按规定使用系统生成保证金子账号进行保证金交纳的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9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364DFE54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F32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63B5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245E8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3A139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进入开评标区域、专家抽取室未进行登记、领取挂牌或拒绝登记的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EF442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7A6FDF4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8A8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54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957E4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E3BAE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961B4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代理机构工作人员服务态度生硬，语言不文明的或与评标（审）专家、中心工作人员发生争吵的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8B3F0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179A895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A2E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5256F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E83FD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1B275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15.开、评标结束后未及时清理标室卫生、关闭电器、设备的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43F91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7899D80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1980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94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BC5E2F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12835E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260B7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16.上传的公告公示、补充信息等资料不完整、不规范、不准确、不及时、不一致的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250B6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C16D5E0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E7E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25" w:hRule="atLeast"/>
          <w:jc w:val="center"/>
        </w:trPr>
        <w:tc>
          <w:tcPr>
            <w:tcW w:w="45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52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8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3729B61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轻微不良行为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DB54D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17.使用被交易中心暂停进场交易工作人员的</w:t>
            </w:r>
          </w:p>
        </w:tc>
        <w:tc>
          <w:tcPr>
            <w:tcW w:w="50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C7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每发生一 次，扣3分</w:t>
            </w:r>
          </w:p>
        </w:tc>
        <w:tc>
          <w:tcPr>
            <w:tcW w:w="86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8F2AB3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727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84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5872F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1376E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7A59D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18.评标结束后未及时将项目资料（含投标文件）交由相应科室保管的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95AFD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0396AC6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5CBC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1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AD130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0E0F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8DCD1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未及时、准确发起保证金退付指令的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2BFD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92A0F2F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5E0F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139B8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E8E1D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7505644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20.未按规定程序组织投标人（供应商）对投标文件有关事项进行现场澄清的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1A1AF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2FA55B5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93C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8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5DC18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0623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D442C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21.完成评标前准备工作或者完成专家询问，不退出评标室的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FD650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9B2D4EC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540D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328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9336EA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0F1C3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2CFA1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22.代理机构未按要求参加市公管办和市交易中心组织的培训、会议或活动的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B80BD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57EA222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5CFB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28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D244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9337E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BAFB6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23.未按规定发放中标通知书的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9E611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6594CC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4505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03" w:type="dxa"/>
          <w:trHeight w:val="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AB96C5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44A77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AB8F8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color w:val="auto"/>
                <w:shd w:val="clear" w:color="auto" w:fill="auto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.代理机构进场登记人员对项目情况掌握不全面、不准确或准备工作不充分的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22395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F1DF156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386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21" w:hRule="atLeast"/>
          <w:jc w:val="center"/>
        </w:trPr>
        <w:tc>
          <w:tcPr>
            <w:tcW w:w="9542" w:type="dxa"/>
            <w:gridSpan w:val="10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附表</w:t>
            </w:r>
          </w:p>
          <w:p w14:paraId="4D56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市公共资源交易中心对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招标代理机构</w:t>
            </w:r>
          </w:p>
          <w:p w14:paraId="5F7D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进场行为规范评价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表</w:t>
            </w:r>
          </w:p>
          <w:p w14:paraId="4871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年  月  日</w:t>
            </w:r>
          </w:p>
        </w:tc>
      </w:tr>
      <w:tr w14:paraId="6458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925" w:hRule="atLeast"/>
          <w:jc w:val="center"/>
        </w:trPr>
        <w:tc>
          <w:tcPr>
            <w:tcW w:w="9542" w:type="dxa"/>
            <w:gridSpan w:val="10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D9AC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</w:tr>
      <w:tr w14:paraId="00EB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85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C0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代理机构名称：</w:t>
            </w:r>
          </w:p>
        </w:tc>
      </w:tr>
      <w:tr w14:paraId="1B98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45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09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代理机构负责人：</w:t>
            </w:r>
          </w:p>
        </w:tc>
      </w:tr>
      <w:tr w14:paraId="624D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27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E8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项目名称（编号）：</w:t>
            </w:r>
          </w:p>
        </w:tc>
      </w:tr>
      <w:tr w14:paraId="09F5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97" w:hRule="atLeast"/>
          <w:jc w:val="center"/>
        </w:trPr>
        <w:tc>
          <w:tcPr>
            <w:tcW w:w="9542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3F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计分科室：                       计分人：</w:t>
            </w:r>
          </w:p>
        </w:tc>
      </w:tr>
      <w:tr w14:paraId="76F2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64" w:hRule="atLeast"/>
          <w:jc w:val="center"/>
        </w:trPr>
        <w:tc>
          <w:tcPr>
            <w:tcW w:w="45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D908F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8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09478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类别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F9669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评价内容</w:t>
            </w:r>
          </w:p>
        </w:tc>
        <w:tc>
          <w:tcPr>
            <w:tcW w:w="506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241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扣分标准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C57533">
            <w:pPr>
              <w:keepNext w:val="0"/>
              <w:keepLines w:val="0"/>
              <w:widowControl/>
              <w:suppressLineNumbers w:val="0"/>
              <w:ind w:firstLine="201" w:firstLineChars="10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扣分点  计分</w:t>
            </w:r>
          </w:p>
        </w:tc>
      </w:tr>
      <w:tr w14:paraId="02CA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12" w:hRule="atLeast"/>
          <w:jc w:val="center"/>
        </w:trPr>
        <w:tc>
          <w:tcPr>
            <w:tcW w:w="45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86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8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60A79DF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严重不良行为 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4F294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1.开、评标组织人员出现迟到、早退或擅自离岗情形的</w:t>
            </w:r>
          </w:p>
        </w:tc>
        <w:tc>
          <w:tcPr>
            <w:tcW w:w="50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694B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每发生一 次，扣10分</w:t>
            </w:r>
          </w:p>
        </w:tc>
        <w:tc>
          <w:tcPr>
            <w:tcW w:w="86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7695670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2B9E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A8E4D2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5D0331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23962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2.未认真维持开、评标现场秩序，致使开、评标组织混乱导致项目不能正常进行的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66E94D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AA58B8B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EDD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21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2AA6E4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837EF1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40013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3.因代理机构工作失误，要求交易系统做更正操作的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6958CC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7695662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E76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7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FCD5B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D026A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DC50C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4.随意变动开、评标场地及开标时间的，或者取消组织开、评标未提前告知中心的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7320DD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6D4B7D5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68D1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0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F48920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482C9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DBB7A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5.上传的信息含敏感字或非法内容的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84ABC6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00808FC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10A9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5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0728AF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08607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F9378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6.携带通讯工具进入评标区的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7BCD8C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4269A66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317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5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4C9AB5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37E1E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0F396C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7.未在评标区专家等候室拆启《评标（审）专家抽取表》的或拆启《评标（审）专家抽取表》时未在专家等候室核对专家身份及证件的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C00518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74D58160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471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5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C263DB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1EB90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6D0F193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8.</w:t>
            </w:r>
            <w:r>
              <w:rPr>
                <w:rStyle w:val="4"/>
                <w:color w:val="auto"/>
                <w:shd w:val="clear" w:color="auto" w:fill="auto"/>
                <w:lang w:val="en-US" w:eastAsia="zh-CN" w:bidi="ar"/>
              </w:rPr>
              <w:t>交易结束后未通知中心工作人员及交回工作牌的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D2B111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9DA0BF2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2DE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92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DBB96F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72A7A6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1003F8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9.项目资料无故未按规定及时、完整归档的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950B0C">
            <w:pPr>
              <w:jc w:val="both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08AB917C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41E4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10" w:hRule="atLeast"/>
          <w:jc w:val="center"/>
        </w:trPr>
        <w:tc>
          <w:tcPr>
            <w:tcW w:w="45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8D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8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4A17493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一般不良行为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3D0B6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代理机构不服从市公共资源交易中心管理的或违反相关规定的</w:t>
            </w:r>
          </w:p>
        </w:tc>
        <w:tc>
          <w:tcPr>
            <w:tcW w:w="50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AE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每发生一 次，扣5分</w:t>
            </w:r>
          </w:p>
        </w:tc>
        <w:tc>
          <w:tcPr>
            <w:tcW w:w="86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2431D9A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7968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44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7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78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7A4C3C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11.违反《松原市公共资源交易中心开标评标区管理制度》、《松原市公共资源交易中心招标代理机构进场交易行为规范》等相关内容的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09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E15E6DD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5887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5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1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8A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AE1A8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12.未按规定使用系统生成保证金子账号进行保证金交纳的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54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6092D83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0880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4AD713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4B5BF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7ED14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进入开评标区域、专家抽取室未进行登记、领取挂牌或拒绝登记的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E2A43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E49DA7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30A9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54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8E712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60802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B4F2B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代理机构工作人员服务态度生硬，语言不文明的或与评标（审）专家、中心工作人员发生争吵的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A466A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94DFC49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1F4D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F8011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0388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3CBB24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15.开、评标结束后未及时清理标室卫生、关闭电器、设备的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B84E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62F4048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76EB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94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2875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1493A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7AA396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16.上传的公告公示、补充信息等资料不完整、不规范、不准确、不及时、不一致的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41ADF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1494E65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C4E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25" w:hRule="atLeast"/>
          <w:jc w:val="center"/>
        </w:trPr>
        <w:tc>
          <w:tcPr>
            <w:tcW w:w="45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F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8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14:paraId="0075F4B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轻微不良行为</w:t>
            </w: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39E1F3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17.使用被交易中心暂停进场交易工作人员的</w:t>
            </w:r>
          </w:p>
        </w:tc>
        <w:tc>
          <w:tcPr>
            <w:tcW w:w="506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E9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每发生一 次，扣3分</w:t>
            </w:r>
          </w:p>
        </w:tc>
        <w:tc>
          <w:tcPr>
            <w:tcW w:w="868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EAE8631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4FFD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84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D771E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A5EE9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C98AE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18.评标结束后未及时将项目资料（含投标文件）交由相应科室保管的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D1E99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44E33688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39DC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1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C96B3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65A1D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CA183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未及时、准确发起保证金退付指令的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DB2C7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32C3A5B4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6E11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B959F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74F61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127CD8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20.未按规定程序组织投标人（供应商）对投标文件有关事项进行现场澄清的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A416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7968C17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5412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8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14E11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BC12B9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2CAECC8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21.完成评标前准备工作或者完成专家询问，不退出评标室的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E0FF1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0E72A51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D19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328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87A36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F962DF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CF153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22.代理机构未按要求参加市公管办和市交易中心组织的培训、会议或活动的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1A0E36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AA55219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7F45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285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DC00E8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7AC724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50C5E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23.未按规定发放中标通知书的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14C86C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22100AB1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  <w:tr w14:paraId="2DEC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3" w:type="dxa"/>
          <w:trHeight w:val="90" w:hRule="atLeast"/>
          <w:jc w:val="center"/>
        </w:trPr>
        <w:tc>
          <w:tcPr>
            <w:tcW w:w="45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D5410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CA53D8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5F38F1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color w:val="auto"/>
                <w:shd w:val="clear" w:color="auto" w:fill="auto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i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.代理机构进场登记人员对项目情况掌握不全面、不准确或准备工作不充分的</w:t>
            </w:r>
          </w:p>
        </w:tc>
        <w:tc>
          <w:tcPr>
            <w:tcW w:w="506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D7BB54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6DE69367"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10"/>
                <w:szCs w:val="10"/>
                <w:u w:val="none"/>
              </w:rPr>
            </w:pPr>
          </w:p>
        </w:tc>
      </w:tr>
    </w:tbl>
    <w:p w14:paraId="34E0DF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4CB8"/>
    <w:rsid w:val="0EC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2025-09-22T07:28:00Z</dcterms:created>
  <dc:creator>一杯烈酒</dc:creator>
  <cp:lastModifiedBy>一杯烈酒</cp:lastModifiedBy>
  <dcterms:modified xsi:type="dcterms:W3CDTF">2025-09-22T07:30:42Z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21AC15CCF23A406FB77EBC2AC5C4F653_11</vt:lpwstr>
  </property>
  <property fmtid="{D5CDD505-2E9C-101B-9397-08002B2CF9AE}" pid="4" name="KSOTemplateDocerSaveRecord">
    <vt:lpwstr>eyJoZGlkIjoiOGUwMzRiOTU1NmJiNDEwMzdkODg5MmJlYTIyNGY3N2EiLCJ1c2VySWQiOiI5NDg3NzcxMjkifQ==</vt:lpwstr>
  </property>
</Properties>
</file>